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</w:t>
      </w:r>
      <w:r w:rsidR="00475051" w:rsidRPr="00475051">
        <w:rPr>
          <w:rFonts w:ascii="Arial" w:hAnsi="Arial" w:cs="Arial"/>
          <w:b/>
        </w:rPr>
        <w:tab/>
        <w:t>S1-</w:t>
      </w:r>
      <w:r w:rsidR="005E3D7F">
        <w:rPr>
          <w:rFonts w:ascii="Arial" w:hAnsi="Arial" w:cs="Arial"/>
          <w:b/>
        </w:rPr>
        <w:t>1</w:t>
      </w:r>
      <w:r w:rsidR="007005DA">
        <w:rPr>
          <w:rFonts w:ascii="Arial" w:hAnsi="Arial" w:cs="Arial"/>
          <w:b/>
        </w:rPr>
        <w:t>60016</w:t>
      </w:r>
    </w:p>
    <w:p w:rsidR="003948C7" w:rsidRPr="00BF0408" w:rsidRDefault="005E3D7F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Okinawa</w:t>
      </w:r>
      <w:r w:rsidR="00946EF5">
        <w:rPr>
          <w:rFonts w:ascii="Arial" w:hAnsi="Arial" w:cs="Arial"/>
          <w:b/>
        </w:rPr>
        <w:t xml:space="preserve"> Japan</w:t>
      </w:r>
      <w:r w:rsidR="00646C91"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>-5</w:t>
      </w:r>
      <w:r w:rsidRPr="005E3D7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</w:t>
      </w:r>
      <w:r w:rsidR="0024087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2016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C15B2D">
        <w:rPr>
          <w:rFonts w:ascii="Arial" w:eastAsia="SimSun" w:hAnsi="Arial"/>
          <w:b/>
          <w:lang w:eastAsia="en-GB"/>
        </w:rPr>
        <w:t xml:space="preserve">Proposal for </w:t>
      </w:r>
      <w:r w:rsidR="000A2B64">
        <w:rPr>
          <w:rFonts w:ascii="Arial" w:eastAsia="SimSun" w:hAnsi="Arial"/>
          <w:b/>
          <w:lang w:eastAsia="en-GB"/>
        </w:rPr>
        <w:t>inclusion in section 5.2.4</w:t>
      </w:r>
      <w:r w:rsidR="00611D97">
        <w:rPr>
          <w:rFonts w:ascii="Arial" w:eastAsia="SimSun" w:hAnsi="Arial"/>
          <w:b/>
          <w:lang w:eastAsia="en-GB"/>
        </w:rPr>
        <w:t xml:space="preserve"> of </w:t>
      </w:r>
      <w:r w:rsidR="007005DA">
        <w:rPr>
          <w:rFonts w:ascii="Arial" w:eastAsia="SimSun" w:hAnsi="Arial"/>
          <w:b/>
          <w:lang w:eastAsia="en-GB"/>
        </w:rPr>
        <w:t xml:space="preserve">V2XLTE </w:t>
      </w:r>
      <w:r w:rsidR="00611D97">
        <w:rPr>
          <w:rFonts w:ascii="Arial" w:eastAsia="SimSun" w:hAnsi="Arial"/>
          <w:b/>
          <w:lang w:eastAsia="en-GB"/>
        </w:rPr>
        <w:t>TS</w:t>
      </w:r>
    </w:p>
    <w:p w:rsidR="00B80D3B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C15B2D" w:rsidRPr="00C15B2D">
        <w:rPr>
          <w:rFonts w:ascii="Arial" w:eastAsia="SimSun" w:hAnsi="Arial"/>
          <w:lang w:eastAsia="en-GB"/>
        </w:rPr>
        <w:t>7.4</w:t>
      </w:r>
      <w:r w:rsidR="00C15B2D" w:rsidRPr="00C15B2D">
        <w:rPr>
          <w:rFonts w:ascii="Arial" w:eastAsia="SimSun" w:hAnsi="Arial"/>
          <w:lang w:eastAsia="en-GB"/>
        </w:rPr>
        <w:tab/>
        <w:t>V2XLTE: LTE support for V2X services [SP-150541]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>Fujitsu</w:t>
      </w:r>
    </w:p>
    <w:p w:rsidR="00BA5E0B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 xml:space="preserve">Jumoke </w:t>
      </w:r>
      <w:proofErr w:type="spellStart"/>
      <w:r w:rsidR="004A26DE">
        <w:rPr>
          <w:rFonts w:ascii="Arial" w:eastAsia="SimSun" w:hAnsi="Arial"/>
          <w:lang w:eastAsia="zh-CN"/>
        </w:rPr>
        <w:t>Ogunbekun</w:t>
      </w:r>
      <w:proofErr w:type="spellEnd"/>
      <w:r w:rsidR="00BA5E0B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6C7709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>
        <w:rPr>
          <w:rFonts w:ascii="Arial" w:eastAsia="SimSun" w:hAnsi="Arial"/>
          <w:lang w:eastAsia="zh-CN"/>
        </w:rPr>
        <w:t xml:space="preserve">); </w:t>
      </w:r>
    </w:p>
    <w:p w:rsidR="00A45CBF" w:rsidRPr="00F25A32" w:rsidRDefault="00BA5E0B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i/>
          <w:lang w:eastAsia="zh-CN"/>
        </w:rPr>
      </w:pPr>
      <w:r>
        <w:rPr>
          <w:rFonts w:ascii="Arial" w:eastAsia="SimSun" w:hAnsi="Arial"/>
          <w:lang w:eastAsia="zh-CN"/>
        </w:rPr>
        <w:tab/>
      </w:r>
      <w:r w:rsidRPr="00F25A32">
        <w:rPr>
          <w:rFonts w:ascii="Arial" w:eastAsia="SimSun" w:hAnsi="Arial"/>
          <w:i/>
          <w:lang w:eastAsia="zh-CN"/>
        </w:rPr>
        <w:t xml:space="preserve"> </w:t>
      </w:r>
    </w:p>
    <w:p w:rsidR="00A45CBF" w:rsidRDefault="00A45CBF" w:rsidP="00A45CBF">
      <w:pPr>
        <w:pBdr>
          <w:bottom w:val="single" w:sz="6" w:space="1" w:color="auto"/>
        </w:pBdr>
      </w:pPr>
    </w:p>
    <w:p w:rsidR="005A575E" w:rsidRPr="00B80D3B" w:rsidRDefault="002C3678" w:rsidP="00771107">
      <w:pPr>
        <w:spacing w:after="200" w:line="276" w:lineRule="auto"/>
        <w:rPr>
          <w:rFonts w:eastAsia="Malgun Gothic"/>
          <w:i/>
          <w:lang w:val="nl-NL" w:eastAsia="ko-KR"/>
        </w:rPr>
      </w:pPr>
      <w:r w:rsidRPr="00B80D3B">
        <w:rPr>
          <w:rFonts w:eastAsia="Calibri"/>
          <w:sz w:val="28"/>
          <w:szCs w:val="28"/>
          <w:lang w:val="nl-NL" w:eastAsia="en-US"/>
        </w:rPr>
        <w:t>Abstract:</w:t>
      </w:r>
      <w:r w:rsidR="00475051" w:rsidRP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80D3B" w:rsidRPr="00B80D3B">
        <w:rPr>
          <w:rFonts w:eastAsia="Malgun Gothic"/>
          <w:i/>
          <w:lang w:val="nl-NL" w:eastAsia="ko-KR"/>
        </w:rPr>
        <w:t>This document describe</w:t>
      </w:r>
      <w:r w:rsidR="000F794D">
        <w:rPr>
          <w:rFonts w:eastAsia="Malgun Gothic"/>
          <w:i/>
          <w:lang w:val="nl-NL" w:eastAsia="ko-KR"/>
        </w:rPr>
        <w:t xml:space="preserve">s </w:t>
      </w:r>
      <w:r w:rsidR="002D18E0">
        <w:rPr>
          <w:rFonts w:eastAsia="Malgun Gothic"/>
          <w:i/>
          <w:lang w:val="nl-NL" w:eastAsia="ko-KR"/>
        </w:rPr>
        <w:t xml:space="preserve">a </w:t>
      </w:r>
      <w:r w:rsidR="000F794D">
        <w:rPr>
          <w:rFonts w:eastAsia="Malgun Gothic"/>
          <w:i/>
          <w:lang w:val="nl-NL" w:eastAsia="ko-KR"/>
        </w:rPr>
        <w:t xml:space="preserve">proposal </w:t>
      </w:r>
      <w:r w:rsidR="004E1CA0">
        <w:rPr>
          <w:rFonts w:eastAsia="Malgun Gothic"/>
          <w:i/>
          <w:lang w:val="nl-NL" w:eastAsia="ko-KR"/>
        </w:rPr>
        <w:t>for</w:t>
      </w:r>
      <w:r w:rsidR="000A2B64">
        <w:rPr>
          <w:rFonts w:eastAsia="Malgun Gothic"/>
          <w:i/>
          <w:lang w:val="nl-NL" w:eastAsia="ko-KR"/>
        </w:rPr>
        <w:t xml:space="preserve"> a new section 5.2.4 for Vehicle Related Application Requir</w:t>
      </w:r>
      <w:r w:rsidR="002D18E0">
        <w:rPr>
          <w:rFonts w:eastAsia="Malgun Gothic"/>
          <w:i/>
          <w:lang w:val="nl-NL" w:eastAsia="ko-KR"/>
        </w:rPr>
        <w:t>e</w:t>
      </w:r>
      <w:r w:rsidR="000A2B64">
        <w:rPr>
          <w:rFonts w:eastAsia="Malgun Gothic"/>
          <w:i/>
          <w:lang w:val="nl-NL" w:eastAsia="ko-KR"/>
        </w:rPr>
        <w:t>ment</w:t>
      </w:r>
      <w:r w:rsidR="004E1CA0">
        <w:rPr>
          <w:rFonts w:eastAsia="Malgun Gothic"/>
          <w:i/>
          <w:lang w:val="nl-NL" w:eastAsia="ko-KR"/>
        </w:rPr>
        <w:t>s</w:t>
      </w:r>
      <w:r w:rsidR="000A2B64">
        <w:rPr>
          <w:rFonts w:eastAsia="Malgun Gothic"/>
          <w:i/>
          <w:lang w:val="nl-NL" w:eastAsia="ko-KR"/>
        </w:rPr>
        <w:t xml:space="preserve"> in </w:t>
      </w:r>
      <w:r w:rsidR="000F794D">
        <w:rPr>
          <w:rFonts w:eastAsia="Malgun Gothic"/>
          <w:i/>
          <w:lang w:val="nl-NL" w:eastAsia="ko-KR"/>
        </w:rPr>
        <w:t>V2XLTE</w:t>
      </w:r>
      <w:r w:rsidR="00C15B2D">
        <w:rPr>
          <w:rFonts w:eastAsia="Malgun Gothic"/>
          <w:i/>
          <w:lang w:val="nl-NL" w:eastAsia="ko-KR"/>
        </w:rPr>
        <w:t xml:space="preserve"> TS</w:t>
      </w:r>
      <w:r w:rsidR="00946EF5">
        <w:rPr>
          <w:rFonts w:eastAsia="Malgun Gothic"/>
          <w:i/>
          <w:lang w:val="nl-NL" w:eastAsia="ko-KR"/>
        </w:rPr>
        <w:t xml:space="preserve"> </w:t>
      </w:r>
    </w:p>
    <w:p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240874" w:rsidRPr="008D5598" w:rsidRDefault="004873FC" w:rsidP="00240874">
      <w:pPr>
        <w:spacing w:line="276" w:lineRule="auto"/>
        <w:rPr>
          <w:rFonts w:eastAsia="Calibri"/>
          <w:b/>
          <w:sz w:val="28"/>
          <w:szCs w:val="28"/>
          <w:lang w:val="nl-NL" w:eastAsia="en-US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Discussion:</w:t>
      </w:r>
    </w:p>
    <w:p w:rsidR="004873FC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0A2B64" w:rsidRDefault="000A2B6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The following is a proposal for new 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 xml:space="preserve">Specific Service Requirements </w:t>
      </w:r>
      <w:r w:rsidR="000F3B04">
        <w:rPr>
          <w:rFonts w:ascii="Arial" w:eastAsia="Malgun Gothic" w:hAnsi="Arial" w:cs="Arial"/>
          <w:sz w:val="22"/>
          <w:szCs w:val="22"/>
          <w:lang w:val="nl-NL" w:eastAsia="ko-KR"/>
        </w:rPr>
        <w:t xml:space="preserve">sub 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section 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>in the TR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. These requirements are 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specific requirements that relate to 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 xml:space="preserve">the already identified 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use cases and 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>they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support the consolidated requirements. </w:t>
      </w:r>
    </w:p>
    <w:p w:rsidR="000A2B64" w:rsidRDefault="000A2B6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AE222D" w:rsidRDefault="000A2B6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T</w:t>
      </w:r>
      <w:r w:rsidR="004905DA">
        <w:rPr>
          <w:rFonts w:ascii="Arial" w:eastAsia="Malgun Gothic" w:hAnsi="Arial" w:cs="Arial"/>
          <w:sz w:val="22"/>
          <w:szCs w:val="22"/>
          <w:lang w:val="nl-NL" w:eastAsia="ko-KR"/>
        </w:rPr>
        <w:t>he content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was derived </w:t>
      </w:r>
      <w:r w:rsidR="004905DA">
        <w:rPr>
          <w:rFonts w:ascii="Arial" w:eastAsia="Malgun Gothic" w:hAnsi="Arial" w:cs="Arial"/>
          <w:sz w:val="22"/>
          <w:szCs w:val="22"/>
          <w:lang w:val="nl-NL" w:eastAsia="ko-KR"/>
        </w:rPr>
        <w:t>by reviewing the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potential requirements in the TR and pull</w:t>
      </w:r>
      <w:r w:rsidR="004905DA">
        <w:rPr>
          <w:rFonts w:ascii="Arial" w:eastAsia="Malgun Gothic" w:hAnsi="Arial" w:cs="Arial"/>
          <w:sz w:val="22"/>
          <w:szCs w:val="22"/>
          <w:lang w:val="nl-NL" w:eastAsia="ko-KR"/>
        </w:rPr>
        <w:t>ing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out specific application requirements </w:t>
      </w:r>
      <w:r w:rsidR="004E1CA0">
        <w:rPr>
          <w:rFonts w:ascii="Arial" w:eastAsia="Malgun Gothic" w:hAnsi="Arial" w:cs="Arial"/>
          <w:sz w:val="22"/>
          <w:szCs w:val="22"/>
          <w:lang w:val="nl-NL" w:eastAsia="ko-KR"/>
        </w:rPr>
        <w:t xml:space="preserve">that were </w:t>
      </w:r>
      <w:r w:rsidR="004905DA">
        <w:rPr>
          <w:rFonts w:ascii="Arial" w:eastAsia="Malgun Gothic" w:hAnsi="Arial" w:cs="Arial"/>
          <w:sz w:val="22"/>
          <w:szCs w:val="22"/>
          <w:lang w:val="nl-NL" w:eastAsia="ko-KR"/>
        </w:rPr>
        <w:t>not mentioned in consolidated requirments but relate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>d</w:t>
      </w:r>
      <w:r w:rsidR="004905DA">
        <w:rPr>
          <w:rFonts w:ascii="Arial" w:eastAsia="Malgun Gothic" w:hAnsi="Arial" w:cs="Arial"/>
          <w:sz w:val="22"/>
          <w:szCs w:val="22"/>
          <w:lang w:val="nl-NL" w:eastAsia="ko-KR"/>
        </w:rPr>
        <w:t xml:space="preserve"> to the use case 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 xml:space="preserve">that </w:t>
      </w:r>
      <w:r w:rsidR="004E1CA0">
        <w:rPr>
          <w:rFonts w:ascii="Arial" w:eastAsia="Malgun Gothic" w:hAnsi="Arial" w:cs="Arial"/>
          <w:sz w:val="22"/>
          <w:szCs w:val="22"/>
          <w:lang w:val="nl-NL" w:eastAsia="ko-KR"/>
        </w:rPr>
        <w:t>they were</w:t>
      </w:r>
      <w:r w:rsidR="004905DA">
        <w:rPr>
          <w:rFonts w:ascii="Arial" w:eastAsia="Malgun Gothic" w:hAnsi="Arial" w:cs="Arial"/>
          <w:sz w:val="22"/>
          <w:szCs w:val="22"/>
          <w:lang w:val="nl-NL" w:eastAsia="ko-KR"/>
        </w:rPr>
        <w:t xml:space="preserve"> derived from</w:t>
      </w:r>
      <w:r w:rsidR="00630B5B">
        <w:rPr>
          <w:rFonts w:ascii="Arial" w:eastAsia="Malgun Gothic" w:hAnsi="Arial" w:cs="Arial"/>
          <w:sz w:val="22"/>
          <w:szCs w:val="22"/>
          <w:lang w:val="nl-NL" w:eastAsia="ko-KR"/>
        </w:rPr>
        <w:t>,</w:t>
      </w:r>
      <w:r w:rsidR="004905DA">
        <w:rPr>
          <w:rFonts w:ascii="Arial" w:eastAsia="Malgun Gothic" w:hAnsi="Arial" w:cs="Arial"/>
          <w:sz w:val="22"/>
          <w:szCs w:val="22"/>
          <w:lang w:val="nl-NL" w:eastAsia="ko-KR"/>
        </w:rPr>
        <w:t xml:space="preserve"> so justifying some of the values stated in the 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>consolidated requirements.</w:t>
      </w:r>
    </w:p>
    <w:p w:rsidR="00AE222D" w:rsidRDefault="00AE222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:rsidR="00B56550" w:rsidRPr="00B56550" w:rsidRDefault="00B56550" w:rsidP="00B56550">
      <w:pPr>
        <w:keepNext/>
        <w:keepLines/>
        <w:spacing w:before="180" w:after="180"/>
        <w:ind w:left="1134" w:hanging="1134"/>
        <w:outlineLvl w:val="1"/>
        <w:rPr>
          <w:rFonts w:ascii="Arial" w:eastAsia="Malgun Gothic" w:hAnsi="Arial"/>
          <w:sz w:val="32"/>
          <w:szCs w:val="20"/>
          <w:lang w:eastAsia="ko-KR"/>
        </w:rPr>
      </w:pPr>
      <w:bookmarkStart w:id="0" w:name="_Toc434345204"/>
      <w:r w:rsidRPr="00B56550">
        <w:rPr>
          <w:rFonts w:ascii="Arial" w:eastAsia="Malgun Gothic" w:hAnsi="Arial" w:hint="eastAsia"/>
          <w:sz w:val="32"/>
          <w:szCs w:val="20"/>
          <w:lang w:eastAsia="ko-KR"/>
        </w:rPr>
        <w:t>5</w:t>
      </w:r>
      <w:r w:rsidRPr="00B56550">
        <w:rPr>
          <w:rFonts w:ascii="Arial" w:eastAsia="Malgun Gothic" w:hAnsi="Arial"/>
          <w:sz w:val="32"/>
          <w:szCs w:val="20"/>
          <w:lang w:eastAsia="en-US"/>
        </w:rPr>
        <w:t>.</w:t>
      </w:r>
      <w:r w:rsidRPr="00B56550">
        <w:rPr>
          <w:rFonts w:ascii="Arial" w:eastAsia="Malgun Gothic" w:hAnsi="Arial" w:hint="eastAsia"/>
          <w:sz w:val="32"/>
          <w:szCs w:val="20"/>
          <w:lang w:eastAsia="ko-KR"/>
        </w:rPr>
        <w:t>2</w:t>
      </w:r>
      <w:r w:rsidRPr="00B56550">
        <w:rPr>
          <w:rFonts w:ascii="Arial" w:eastAsia="Malgun Gothic" w:hAnsi="Arial"/>
          <w:sz w:val="32"/>
          <w:szCs w:val="20"/>
          <w:lang w:eastAsia="en-US"/>
        </w:rPr>
        <w:tab/>
      </w:r>
      <w:r w:rsidRPr="00B56550">
        <w:rPr>
          <w:rFonts w:ascii="Arial" w:eastAsia="Malgun Gothic" w:hAnsi="Arial" w:hint="eastAsia"/>
          <w:sz w:val="32"/>
          <w:szCs w:val="20"/>
          <w:lang w:eastAsia="ko-KR"/>
        </w:rPr>
        <w:t>Specific Service Requirements</w:t>
      </w:r>
      <w:bookmarkEnd w:id="0"/>
    </w:p>
    <w:p w:rsidR="00B56550" w:rsidRPr="00B56550" w:rsidRDefault="00B56550" w:rsidP="00B56550">
      <w:pPr>
        <w:pStyle w:val="Heading3"/>
        <w:rPr>
          <w:b w:val="0"/>
          <w:lang w:eastAsia="ko-KR"/>
        </w:rPr>
      </w:pPr>
      <w:r w:rsidRPr="00B56550">
        <w:rPr>
          <w:b w:val="0"/>
          <w:lang w:eastAsia="ko-KR"/>
        </w:rPr>
        <w:t>5.2.1</w:t>
      </w:r>
      <w:r w:rsidRPr="00B56550">
        <w:rPr>
          <w:b w:val="0"/>
          <w:lang w:eastAsia="ko-KR"/>
        </w:rPr>
        <w:tab/>
        <w:t>General Requirement</w:t>
      </w:r>
    </w:p>
    <w:p w:rsidR="00B56550" w:rsidRPr="00B56550" w:rsidRDefault="00B56550" w:rsidP="00B56550">
      <w:pPr>
        <w:pStyle w:val="Heading3"/>
        <w:rPr>
          <w:b w:val="0"/>
          <w:lang w:eastAsia="ko-KR"/>
        </w:rPr>
      </w:pPr>
      <w:r w:rsidRPr="00B56550">
        <w:rPr>
          <w:b w:val="0"/>
          <w:lang w:eastAsia="ko-KR"/>
        </w:rPr>
        <w:t>5.2.2</w:t>
      </w:r>
      <w:r w:rsidRPr="00B56550">
        <w:rPr>
          <w:b w:val="0"/>
          <w:lang w:eastAsia="ko-KR"/>
        </w:rPr>
        <w:tab/>
        <w:t>Road Safety Related Requirements</w:t>
      </w:r>
    </w:p>
    <w:p w:rsidR="00B56550" w:rsidRPr="00B56550" w:rsidRDefault="00B56550" w:rsidP="00B56550">
      <w:pPr>
        <w:pStyle w:val="Heading3"/>
        <w:rPr>
          <w:b w:val="0"/>
          <w:lang w:eastAsia="ko-KR"/>
        </w:rPr>
      </w:pPr>
      <w:r w:rsidRPr="00B56550">
        <w:rPr>
          <w:b w:val="0"/>
          <w:lang w:eastAsia="ko-KR"/>
        </w:rPr>
        <w:t>5.2.3</w:t>
      </w:r>
      <w:r w:rsidRPr="00B56550">
        <w:rPr>
          <w:b w:val="0"/>
          <w:lang w:eastAsia="ko-KR"/>
        </w:rPr>
        <w:tab/>
        <w:t>Vehicle Awareness – Information related requirements</w:t>
      </w:r>
    </w:p>
    <w:p w:rsidR="00296269" w:rsidRDefault="00B56550" w:rsidP="00B56550">
      <w:pPr>
        <w:pStyle w:val="Heading3"/>
        <w:rPr>
          <w:b w:val="0"/>
          <w:lang w:eastAsia="ko-KR"/>
        </w:rPr>
      </w:pPr>
      <w:r w:rsidRPr="00B56550">
        <w:rPr>
          <w:b w:val="0"/>
          <w:lang w:eastAsia="ko-KR"/>
        </w:rPr>
        <w:t>5.2.4</w:t>
      </w:r>
      <w:r w:rsidRPr="00B56550">
        <w:rPr>
          <w:b w:val="0"/>
          <w:lang w:eastAsia="ko-KR"/>
        </w:rPr>
        <w:tab/>
        <w:t>Vehicle related application requirement</w:t>
      </w:r>
    </w:p>
    <w:p w:rsidR="008A228A" w:rsidRDefault="008A228A" w:rsidP="008A228A">
      <w:pPr>
        <w:rPr>
          <w:lang w:eastAsia="ko-KR"/>
        </w:rPr>
      </w:pPr>
    </w:p>
    <w:p w:rsidR="008A228A" w:rsidRDefault="008A228A" w:rsidP="000A2B64">
      <w:pPr>
        <w:spacing w:before="120" w:after="120" w:line="360" w:lineRule="auto"/>
        <w:ind w:left="1440" w:hanging="1440"/>
        <w:rPr>
          <w:lang w:eastAsia="ko-KR"/>
        </w:rPr>
      </w:pPr>
      <w:r>
        <w:rPr>
          <w:lang w:eastAsia="ko-KR"/>
        </w:rPr>
        <w:t>[SR.01]</w:t>
      </w:r>
      <w:r>
        <w:rPr>
          <w:lang w:eastAsia="ko-KR"/>
        </w:rPr>
        <w:tab/>
      </w:r>
      <w:r w:rsidR="000A2B64" w:rsidRPr="000A2B64">
        <w:rPr>
          <w:lang w:eastAsia="ko-KR"/>
        </w:rPr>
        <w:t>The E-</w:t>
      </w:r>
      <w:proofErr w:type="gramStart"/>
      <w:r w:rsidR="000A2B64" w:rsidRPr="000A2B64">
        <w:rPr>
          <w:lang w:eastAsia="ko-KR"/>
        </w:rPr>
        <w:t>UTRA(</w:t>
      </w:r>
      <w:proofErr w:type="gramEnd"/>
      <w:r w:rsidR="000A2B64" w:rsidRPr="000A2B64">
        <w:rPr>
          <w:lang w:eastAsia="ko-KR"/>
        </w:rPr>
        <w:t>N) shall be able to support a typical message size of 50-400 Bytes</w:t>
      </w:r>
      <w:r w:rsidR="000A2B64">
        <w:rPr>
          <w:lang w:eastAsia="ko-KR"/>
        </w:rPr>
        <w:t xml:space="preserve"> </w:t>
      </w:r>
      <w:proofErr w:type="spellStart"/>
      <w:r w:rsidR="000A2B64">
        <w:rPr>
          <w:lang w:eastAsia="ko-KR"/>
        </w:rPr>
        <w:t>e.g</w:t>
      </w:r>
      <w:proofErr w:type="spellEnd"/>
      <w:r w:rsidR="000A2B64">
        <w:rPr>
          <w:lang w:eastAsia="ko-KR"/>
        </w:rPr>
        <w:t xml:space="preserve"> for automated parking system</w:t>
      </w:r>
      <w:r w:rsidR="000A2B64" w:rsidRPr="000A2B64">
        <w:rPr>
          <w:lang w:eastAsia="ko-KR"/>
        </w:rPr>
        <w:t>.</w:t>
      </w:r>
    </w:p>
    <w:p w:rsidR="008A228A" w:rsidRDefault="008A228A" w:rsidP="008A228A">
      <w:pPr>
        <w:spacing w:before="120" w:after="120" w:line="360" w:lineRule="auto"/>
        <w:ind w:left="1440" w:hanging="1440"/>
        <w:rPr>
          <w:lang w:eastAsia="ko-KR"/>
        </w:rPr>
      </w:pPr>
      <w:r>
        <w:rPr>
          <w:lang w:eastAsia="ko-KR"/>
        </w:rPr>
        <w:t>[SR.02]</w:t>
      </w:r>
      <w:r>
        <w:rPr>
          <w:lang w:eastAsia="ko-KR"/>
        </w:rPr>
        <w:tab/>
        <w:t>The E-</w:t>
      </w:r>
      <w:proofErr w:type="gramStart"/>
      <w:r>
        <w:rPr>
          <w:lang w:eastAsia="ko-KR"/>
        </w:rPr>
        <w:t>UTRA(</w:t>
      </w:r>
      <w:proofErr w:type="gramEnd"/>
      <w:r>
        <w:rPr>
          <w:lang w:eastAsia="ko-KR"/>
        </w:rPr>
        <w:t>N) shall be able to support a communication range sufficient to give the driver(s) ample response time (e.g. 4 seconds).</w:t>
      </w:r>
    </w:p>
    <w:p w:rsidR="008A228A" w:rsidRDefault="008A228A" w:rsidP="008A228A">
      <w:pPr>
        <w:spacing w:before="120" w:after="120" w:line="360" w:lineRule="auto"/>
        <w:ind w:left="1440" w:hanging="1440"/>
        <w:rPr>
          <w:lang w:eastAsia="ko-KR"/>
        </w:rPr>
      </w:pPr>
      <w:r>
        <w:rPr>
          <w:lang w:eastAsia="ko-KR"/>
        </w:rPr>
        <w:t>[SR.03]</w:t>
      </w:r>
      <w:r>
        <w:rPr>
          <w:lang w:eastAsia="ko-KR"/>
        </w:rPr>
        <w:tab/>
      </w:r>
      <w:r w:rsidRPr="008A228A">
        <w:rPr>
          <w:lang w:eastAsia="ko-KR"/>
        </w:rPr>
        <w:t>3GPP system should be able to support driver and vehicle privacy, by ensuring that a vehicle cannot be tracked or identified by any other vehicle beyond a certain short time-period</w:t>
      </w:r>
    </w:p>
    <w:p w:rsidR="008A228A" w:rsidRDefault="008A228A" w:rsidP="008A228A">
      <w:pPr>
        <w:spacing w:before="120" w:after="120" w:line="360" w:lineRule="auto"/>
        <w:ind w:left="1440" w:hanging="1440"/>
        <w:rPr>
          <w:lang w:eastAsia="ko-KR"/>
        </w:rPr>
      </w:pPr>
      <w:r>
        <w:rPr>
          <w:lang w:eastAsia="ko-KR"/>
        </w:rPr>
        <w:lastRenderedPageBreak/>
        <w:t>[SR.04]</w:t>
      </w:r>
      <w:r>
        <w:rPr>
          <w:lang w:eastAsia="ko-KR"/>
        </w:rPr>
        <w:tab/>
      </w:r>
      <w:r w:rsidR="007005DA" w:rsidRPr="007005DA">
        <w:t xml:space="preserve"> </w:t>
      </w:r>
      <w:r w:rsidR="007005DA">
        <w:rPr>
          <w:lang w:eastAsia="ko-KR"/>
        </w:rPr>
        <w:t xml:space="preserve">A </w:t>
      </w:r>
      <w:r w:rsidR="007005DA" w:rsidRPr="007005DA">
        <w:rPr>
          <w:lang w:eastAsia="ko-KR"/>
        </w:rPr>
        <w:t>UE</w:t>
      </w:r>
      <w:r w:rsidR="007005DA">
        <w:rPr>
          <w:lang w:eastAsia="ko-KR"/>
        </w:rPr>
        <w:t xml:space="preserve"> supporting V2X should be able to </w:t>
      </w:r>
      <w:r w:rsidR="007005DA" w:rsidRPr="007005DA">
        <w:rPr>
          <w:lang w:eastAsia="ko-KR"/>
        </w:rPr>
        <w:t>derive its lo</w:t>
      </w:r>
      <w:r w:rsidR="007005DA">
        <w:rPr>
          <w:lang w:eastAsia="ko-KR"/>
        </w:rPr>
        <w:t xml:space="preserve">cation with higher accuracy for example </w:t>
      </w:r>
      <w:r w:rsidR="007005DA" w:rsidRPr="007005DA">
        <w:rPr>
          <w:lang w:eastAsia="ko-KR"/>
        </w:rPr>
        <w:t>in instance of assisted driving</w:t>
      </w:r>
    </w:p>
    <w:p w:rsidR="008A228A" w:rsidRDefault="008A228A" w:rsidP="008A228A">
      <w:pPr>
        <w:spacing w:before="120" w:after="120" w:line="360" w:lineRule="auto"/>
        <w:ind w:left="1440" w:hanging="1440"/>
        <w:rPr>
          <w:lang w:eastAsia="ko-KR"/>
        </w:rPr>
      </w:pPr>
      <w:r>
        <w:rPr>
          <w:lang w:eastAsia="ko-KR"/>
        </w:rPr>
        <w:t>[SR.05]</w:t>
      </w:r>
      <w:r>
        <w:rPr>
          <w:lang w:eastAsia="ko-KR"/>
        </w:rPr>
        <w:tab/>
      </w:r>
      <w:r w:rsidRPr="008A228A">
        <w:rPr>
          <w:lang w:eastAsia="ko-KR"/>
        </w:rPr>
        <w:t>3GPP network shall be able to provide means to prioritize V2X message transmission for a UE supporting V2X serving specific purpose (e.g. ambulance or patrol car on duty).</w:t>
      </w:r>
    </w:p>
    <w:p w:rsidR="004905DA" w:rsidRDefault="004905DA" w:rsidP="008A228A">
      <w:pPr>
        <w:spacing w:before="120" w:after="120" w:line="360" w:lineRule="auto"/>
        <w:ind w:left="1440" w:hanging="1440"/>
        <w:rPr>
          <w:lang w:eastAsia="ko-KR"/>
        </w:rPr>
      </w:pPr>
    </w:p>
    <w:p w:rsidR="004905DA" w:rsidRDefault="004905DA" w:rsidP="008A228A">
      <w:pPr>
        <w:spacing w:before="120" w:after="120" w:line="360" w:lineRule="auto"/>
        <w:ind w:left="1440" w:hanging="1440"/>
        <w:rPr>
          <w:lang w:eastAsia="ko-KR"/>
        </w:rPr>
      </w:pPr>
      <w:r>
        <w:rPr>
          <w:lang w:eastAsia="ko-KR"/>
        </w:rPr>
        <w:br w:type="page"/>
      </w:r>
    </w:p>
    <w:p w:rsidR="003A5999" w:rsidRDefault="004905DA" w:rsidP="008A228A">
      <w:pPr>
        <w:spacing w:before="120" w:after="120" w:line="360" w:lineRule="auto"/>
        <w:ind w:left="1440" w:hanging="1440"/>
        <w:rPr>
          <w:sz w:val="20"/>
          <w:szCs w:val="20"/>
          <w:lang w:val="en-US" w:eastAsia="zh-CN"/>
        </w:rPr>
      </w:pPr>
      <w:r>
        <w:rPr>
          <w:lang w:eastAsia="ko-KR"/>
        </w:rPr>
        <w:lastRenderedPageBreak/>
        <w:fldChar w:fldCharType="begin"/>
      </w:r>
      <w:r>
        <w:rPr>
          <w:lang w:eastAsia="ko-KR"/>
        </w:rPr>
        <w:instrText xml:space="preserve"> LINK </w:instrText>
      </w:r>
      <w:r w:rsidR="00507D3B">
        <w:rPr>
          <w:lang w:eastAsia="ko-KR"/>
        </w:rPr>
        <w:instrText xml:space="preserve">Excel.Sheet.12 "C:\\Users\\Jumoka\\Desktop\\Desktop\\SA1 STUFF\\ETSI and 3GPP V2X Usecase comparison.xlsx" Sheet3!R1C1:R28C3 </w:instrText>
      </w:r>
      <w:r>
        <w:rPr>
          <w:lang w:eastAsia="ko-KR"/>
        </w:rPr>
        <w:instrText xml:space="preserve">\a \f 4 \h  \* MERGEFORMAT </w:instrText>
      </w:r>
      <w:r>
        <w:rPr>
          <w:lang w:eastAsia="ko-KR"/>
        </w:rPr>
        <w:fldChar w:fldCharType="separat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1440"/>
        <w:gridCol w:w="4770"/>
        <w:gridCol w:w="3240"/>
      </w:tblGrid>
      <w:tr w:rsidR="003A5999" w:rsidRPr="003A5999" w:rsidTr="003A5999">
        <w:trPr>
          <w:divId w:val="160894537"/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 xml:space="preserve">[PR.5.27.5-001]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UE supporting V2N Service shall be able to transmit periodic unicast message (e.g., diagnostic data) to an application server.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Periodic unicast message - covered by consolidated requirement</w:t>
            </w:r>
          </w:p>
        </w:tc>
      </w:tr>
      <w:tr w:rsidR="003A5999" w:rsidRPr="003A5999" w:rsidTr="003A5999">
        <w:trPr>
          <w:divId w:val="160894537"/>
          <w:trHeight w:val="73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[PR.5.25.5-001</w:t>
            </w:r>
            <w:proofErr w:type="gramStart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] .</w:t>
            </w:r>
            <w:proofErr w:type="gramEnd"/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3GPP system should be able to support driver and vehicle privacy, by ensuring that a vehicle cannot be tracked or identified by any other vehicle beyond a certain short time-period required to run path-prediction algorithms while in proximity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car cannot be tracked by any other vehicle beyond certain time period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 xml:space="preserve">[PR.5.24.5-001]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A UE supporting V2X Services should be provided with additional 3GPP (e.g. OTDOA) and/or non 3GPP (e.g. DGPS) mechanisms by which it can derive its location with higher accuracy.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ability for UE to</w:t>
            </w:r>
            <w:r w:rsid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be able to </w:t>
            </w: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derive its location with higher accuracy </w:t>
            </w:r>
            <w:r w:rsid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in instance of assisted driving for example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 xml:space="preserve">[PR.5.24.5-002]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3GPP Network should make available any supported positional accuracy improvement techniques in a resource efficient way to a subscribed UE supporting V2X Services.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same as above</w:t>
            </w:r>
          </w:p>
        </w:tc>
        <w:bookmarkStart w:id="1" w:name="_GoBack"/>
        <w:bookmarkEnd w:id="1"/>
      </w:tr>
      <w:tr w:rsidR="003A5999" w:rsidRPr="003A5999" w:rsidTr="003A5999">
        <w:trPr>
          <w:divId w:val="160894537"/>
          <w:trHeight w:val="154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 xml:space="preserve">[PR.5.21.5-001]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System shall support communication between devices for V2V Service which can be: Served by the same PLMN, including when roaming; or Served by different PLMNs, including when roaming.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73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 xml:space="preserve">[PR.5.21.5-002]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System shall support communication between RSUs and UEs for V2I Service which can be: Served by the same PLMN, including when roaming; or Served by different PLMNs, including when roaming.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73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 xml:space="preserve">[PR.5.21.5-003]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System shall support communication between devices for V2P Service which can be: Served by the same PLMN, including when roaming; or Served by different PLMNs, including when roaming.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73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 xml:space="preserve">[PR.5.21.5-004]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3GPP System shall support the same requirements for latency, reliability, security, etc. for V2X communication between devices served by different PLMNs as for communications within a single PLMN.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[PR.5.20.5-001]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3GPP network shall be able to provide means to prioritize V2X message transmission for a UE supporting V2X serving specific purpose (e.g. ambulance or patrol car on duty).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ability to </w:t>
            </w:r>
            <w:proofErr w:type="spellStart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priotize</w:t>
            </w:r>
            <w:proofErr w:type="spellEnd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V2X message for specific purpose </w:t>
            </w:r>
            <w:proofErr w:type="spellStart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e.g</w:t>
            </w:r>
            <w:proofErr w:type="spellEnd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 ambulance or police car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[PR.5.20.5-002]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3GPP network shall be able to provide means to prioritize transmission of V2X message according to its type (e.g. whether road safety related message or not).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same as above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[PR.5.11.5-001]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establishment of a UE traffic session on the E-UTRAN for V2X message transfer is under control of the network when the UE is under network coverage.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[PR.5.11.5-002]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Radio Access Network shall control the radio resources associated with the E-UTRAN for V2X messages from an UE.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73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[PR.5.11.5-003] 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Radio Access Network shall be able to consider V2V application needs (frequency, message size, communication range, transmission latency, transmission reliability and moving speed) for the transfer over E-UTRAN of the V2X messages of a UE.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[PR.5.11.5-004]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Radio Access Network shall be able to consider radio resources and their utilization for the V2X message of a UE transfer over E-UTRAN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[PR.5.11.5-005]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network shall provide a means for the MNO to authorize on per subscription basis, the allowed communication range a UE is allowed to use for V2V Service.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[PR.5.11.5-006]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network shall provide a means for the MNO to authorize the sending of V2X messages of a UE.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[PR.5.11.5-007]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impact of V2X message transfer on radio usage, network usage and battery consumption should be minimized.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lastRenderedPageBreak/>
              <w:t xml:space="preserve">[PR.5.11.5-008]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network shall provide a means for the MNO to enable or disable the usage of V2X message of any UE transfer over E-UTRAN.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[PR.5.11.5-009]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network shall provide a means for the MNO to authorize V2X message transfer over E-UTRAN for each individual UE.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12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[PR.5.11.5-010]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val="en-US" w:eastAsia="en-GB"/>
              </w:rPr>
              <w:t>The 3GPP network shall provide a means for the MNO to control the connection path for a specific service over V2V. The selected route may be different for different types of services in the same vehicle. The route may be controlled also taking into consideration radio-related parameters such as traffic load and specific radio and service requirements for a given service.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[PR.5.11.5-011]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Both the HPLMN and VPLMN operators shall be able to charge for network resource usage for V2X message transfer by a UE.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[PR.5.9.5-001]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An RSU shall be able to support transmission and reception of unicast messages.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[PR.5.9.5-002]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The E-UTRA(N) shall be able to support a maximum relative velocity of 160 km/h.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The E-UTRA(N) shall be able to support a maximum relative velocity of 160 km/h. </w:t>
            </w:r>
          </w:p>
        </w:tc>
      </w:tr>
      <w:tr w:rsidR="003A5999" w:rsidRPr="003A5999" w:rsidTr="003A5999">
        <w:trPr>
          <w:divId w:val="160894537"/>
          <w:trHeight w:val="73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[PR.5.9.5-003]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E-</w:t>
            </w:r>
            <w:proofErr w:type="gramStart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UTRA(</w:t>
            </w:r>
            <w:proofErr w:type="gramEnd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N) shall be able to support a communication range sufficient to give the driver(s) ample response time (e.g. 4 seconds).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E-</w:t>
            </w:r>
            <w:proofErr w:type="gramStart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UTRA(</w:t>
            </w:r>
            <w:proofErr w:type="gramEnd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N) shall be able to support a communication range sufficient to give the driver(s) ample response time (e.g. 4 seconds). </w:t>
            </w:r>
          </w:p>
        </w:tc>
      </w:tr>
      <w:tr w:rsidR="003A5999" w:rsidRPr="003A5999" w:rsidTr="003A5999">
        <w:trPr>
          <w:divId w:val="160894537"/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[PR.5.9.5-004]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E-</w:t>
            </w:r>
            <w:proofErr w:type="gramStart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UTRA(</w:t>
            </w:r>
            <w:proofErr w:type="gramEnd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N) shall be able to support a typical message size of 50-400 Bytes.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[PR.5.9.5-005]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The E-</w:t>
            </w:r>
            <w:proofErr w:type="gramStart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UTRA(</w:t>
            </w:r>
            <w:proofErr w:type="gramEnd"/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 xml:space="preserve">N) shall be able to support a maximum latency of 100ms.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covered under consolidated requirement</w:t>
            </w:r>
          </w:p>
        </w:tc>
      </w:tr>
      <w:tr w:rsidR="003A5999" w:rsidRPr="003A5999" w:rsidTr="003A5999">
        <w:trPr>
          <w:divId w:val="160894537"/>
          <w:trHeight w:val="4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999" w:rsidRPr="007005DA" w:rsidRDefault="003A5999" w:rsidP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ko-KR"/>
              </w:rPr>
              <w:t>[PR.5.9.5-006]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A UE supporting V2I Service shall be able to support transmission and reception of unicast messages.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999" w:rsidRPr="007005DA" w:rsidRDefault="003A5999">
            <w:pPr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</w:pPr>
            <w:r w:rsidRPr="007005DA">
              <w:rPr>
                <w:rFonts w:ascii="Calibri" w:eastAsia="Times New Roman" w:hAnsi="Calibri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</w:tbl>
    <w:p w:rsidR="004905DA" w:rsidRPr="008A228A" w:rsidRDefault="004905DA" w:rsidP="008A228A">
      <w:pPr>
        <w:spacing w:before="120" w:after="120" w:line="360" w:lineRule="auto"/>
        <w:ind w:left="1440" w:hanging="1440"/>
        <w:rPr>
          <w:lang w:eastAsia="ko-KR"/>
        </w:rPr>
      </w:pPr>
      <w:r>
        <w:rPr>
          <w:lang w:eastAsia="ko-KR"/>
        </w:rPr>
        <w:fldChar w:fldCharType="end"/>
      </w:r>
    </w:p>
    <w:sectPr w:rsidR="004905DA" w:rsidRPr="008A228A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67" w:rsidRDefault="00B67167"/>
  </w:endnote>
  <w:endnote w:type="continuationSeparator" w:id="0">
    <w:p w:rsidR="00B67167" w:rsidRDefault="00B671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67" w:rsidRDefault="00B67167"/>
  </w:footnote>
  <w:footnote w:type="continuationSeparator" w:id="0">
    <w:p w:rsidR="00B67167" w:rsidRDefault="00B671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3B04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3FC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599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5A2"/>
    <w:rsid w:val="00502223"/>
    <w:rsid w:val="00502789"/>
    <w:rsid w:val="0050347F"/>
    <w:rsid w:val="00503C9B"/>
    <w:rsid w:val="00507D3B"/>
    <w:rsid w:val="005110AC"/>
    <w:rsid w:val="00511136"/>
    <w:rsid w:val="0051683B"/>
    <w:rsid w:val="00524AF7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228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Jumoke</dc:creator>
  <cp:lastModifiedBy>Jumoke</cp:lastModifiedBy>
  <cp:revision>5</cp:revision>
  <dcterms:created xsi:type="dcterms:W3CDTF">2016-01-13T15:54:00Z</dcterms:created>
  <dcterms:modified xsi:type="dcterms:W3CDTF">2016-01-20T14:06:00Z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